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B8" w:rsidRPr="007968A2" w:rsidRDefault="00F772B8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>Entwicklungsprogramm Ländlicher Raum (ELR)</w:t>
      </w:r>
    </w:p>
    <w:p w:rsidR="000B0A47" w:rsidRPr="007968A2" w:rsidRDefault="00B622F1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 xml:space="preserve">Ausschreibung </w:t>
      </w:r>
      <w:r w:rsidR="00F772B8" w:rsidRPr="007968A2">
        <w:rPr>
          <w:rFonts w:ascii="Times New Roman" w:hAnsi="Times New Roman" w:cs="Times New Roman"/>
          <w:b/>
          <w:sz w:val="20"/>
          <w:szCs w:val="20"/>
        </w:rPr>
        <w:t>Jahresprogramm 20</w:t>
      </w:r>
      <w:r w:rsidR="00EA5F64">
        <w:rPr>
          <w:rFonts w:ascii="Times New Roman" w:hAnsi="Times New Roman" w:cs="Times New Roman"/>
          <w:b/>
          <w:sz w:val="20"/>
          <w:szCs w:val="20"/>
        </w:rPr>
        <w:t>20</w:t>
      </w:r>
      <w:r w:rsidR="009A5FA2"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7249" w:rsidRPr="007968A2" w:rsidRDefault="009C0353" w:rsidP="00B556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69B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Das Ministerium für Ländlichen Raum und Verbraucherschutz hat das Jahresprogramm 20</w:t>
      </w:r>
      <w:r w:rsidR="00EA5F64">
        <w:rPr>
          <w:rFonts w:ascii="Times New Roman" w:hAnsi="Times New Roman" w:cs="Times New Roman"/>
          <w:sz w:val="20"/>
          <w:szCs w:val="20"/>
        </w:rPr>
        <w:t>20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zum Entwicklungsprogramm 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Ländlicher Raum (ELR) mit Bekanntmachung vom </w:t>
      </w:r>
      <w:r w:rsidR="00EA5F64">
        <w:rPr>
          <w:rFonts w:ascii="Times New Roman" w:hAnsi="Times New Roman" w:cs="Times New Roman"/>
          <w:sz w:val="20"/>
          <w:szCs w:val="20"/>
        </w:rPr>
        <w:t>17</w:t>
      </w:r>
      <w:r w:rsidR="00B5569B" w:rsidRPr="007968A2">
        <w:rPr>
          <w:rFonts w:ascii="Times New Roman" w:hAnsi="Times New Roman" w:cs="Times New Roman"/>
          <w:sz w:val="20"/>
          <w:szCs w:val="20"/>
        </w:rPr>
        <w:t>. Mai 20</w:t>
      </w:r>
      <w:r w:rsidR="00EA5F64">
        <w:rPr>
          <w:rFonts w:ascii="Times New Roman" w:hAnsi="Times New Roman" w:cs="Times New Roman"/>
          <w:sz w:val="20"/>
          <w:szCs w:val="20"/>
        </w:rPr>
        <w:t>19</w:t>
      </w:r>
      <w:r w:rsidR="007D4D4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 xml:space="preserve">im Staatsanzeiger </w:t>
      </w:r>
      <w:r w:rsidRPr="007968A2">
        <w:rPr>
          <w:rFonts w:ascii="Times New Roman" w:hAnsi="Times New Roman" w:cs="Times New Roman"/>
          <w:sz w:val="20"/>
          <w:szCs w:val="20"/>
        </w:rPr>
        <w:t>ausgeschrieben</w:t>
      </w:r>
      <w:r w:rsidR="00B5569B" w:rsidRPr="007968A2">
        <w:rPr>
          <w:rFonts w:ascii="Times New Roman" w:hAnsi="Times New Roman" w:cs="Times New Roman"/>
          <w:sz w:val="20"/>
          <w:szCs w:val="20"/>
        </w:rPr>
        <w:t>.</w:t>
      </w:r>
    </w:p>
    <w:p w:rsidR="009A5FA2" w:rsidRPr="007D4D42" w:rsidRDefault="00A00200" w:rsidP="00684125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Das</w:t>
      </w:r>
      <w:r w:rsidR="009A5FA2" w:rsidRPr="007D4D42">
        <w:rPr>
          <w:rFonts w:ascii="Times New Roman" w:hAnsi="Times New Roman" w:cs="Times New Roman"/>
          <w:b/>
          <w:sz w:val="20"/>
          <w:szCs w:val="20"/>
        </w:rPr>
        <w:t xml:space="preserve"> ELR</w:t>
      </w:r>
    </w:p>
    <w:p w:rsidR="000B0A47" w:rsidRPr="007968A2" w:rsidRDefault="00A62A1C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Mit dem Entwicklungsprogramm Ländlicher Raum (ELR) hat das Land Baden-Württemberg ein umfassendes Förderangebot für die strukturelle Entwicklung ländlich geprägter Dörfer und Gemeinden geschaffen. Gefördert werden Projekte</w:t>
      </w:r>
      <w:r w:rsidR="00615DC8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die lebendige Ortskerne erhalten, zeitgemäßes Wohnen und Arbeiten ermöglichen, eine wohnortnahe Versorgung </w:t>
      </w:r>
      <w:r w:rsidR="001652CB">
        <w:rPr>
          <w:rFonts w:ascii="Times New Roman" w:hAnsi="Times New Roman" w:cs="Times New Roman"/>
          <w:sz w:val="20"/>
          <w:szCs w:val="20"/>
        </w:rPr>
        <w:t xml:space="preserve">mit Waren und Dienstleistungen </w:t>
      </w:r>
      <w:r w:rsidR="00B622F1" w:rsidRPr="007968A2">
        <w:rPr>
          <w:rFonts w:ascii="Times New Roman" w:hAnsi="Times New Roman" w:cs="Times New Roman"/>
          <w:sz w:val="20"/>
          <w:szCs w:val="20"/>
        </w:rPr>
        <w:t>sichern sowie zukunftsfähige Arbeitsplätze schaffen.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A00200" w:rsidRPr="007968A2">
        <w:rPr>
          <w:rFonts w:ascii="Times New Roman" w:hAnsi="Times New Roman" w:cs="Times New Roman"/>
          <w:sz w:val="20"/>
          <w:szCs w:val="20"/>
        </w:rPr>
        <w:t>Ziel de</w:t>
      </w:r>
      <w:r w:rsidR="001652CB">
        <w:rPr>
          <w:rFonts w:ascii="Times New Roman" w:hAnsi="Times New Roman" w:cs="Times New Roman"/>
          <w:sz w:val="20"/>
          <w:szCs w:val="20"/>
        </w:rPr>
        <w:t xml:space="preserve">s </w:t>
      </w:r>
      <w:r w:rsidR="00A00200" w:rsidRPr="007968A2">
        <w:rPr>
          <w:rFonts w:ascii="Times New Roman" w:hAnsi="Times New Roman" w:cs="Times New Roman"/>
          <w:sz w:val="20"/>
          <w:szCs w:val="20"/>
        </w:rPr>
        <w:t>Jahre</w:t>
      </w:r>
      <w:r w:rsidR="00B622F1" w:rsidRPr="007968A2">
        <w:rPr>
          <w:rFonts w:ascii="Times New Roman" w:hAnsi="Times New Roman" w:cs="Times New Roman"/>
          <w:sz w:val="20"/>
          <w:szCs w:val="20"/>
        </w:rPr>
        <w:t>sprogramms 20</w:t>
      </w:r>
      <w:r w:rsidR="00EA5F64">
        <w:rPr>
          <w:rFonts w:ascii="Times New Roman" w:hAnsi="Times New Roman" w:cs="Times New Roman"/>
          <w:sz w:val="20"/>
          <w:szCs w:val="20"/>
        </w:rPr>
        <w:t>20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 xml:space="preserve">ist, 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Impulse zur innerörtlichen </w:t>
      </w:r>
      <w:r w:rsidR="001652CB">
        <w:rPr>
          <w:rFonts w:ascii="Times New Roman" w:hAnsi="Times New Roman" w:cs="Times New Roman"/>
          <w:sz w:val="20"/>
          <w:szCs w:val="20"/>
        </w:rPr>
        <w:t xml:space="preserve">Entwicklung und Aktivierung der Ortskerne </w:t>
      </w:r>
      <w:r w:rsidR="00B622F1" w:rsidRPr="007968A2">
        <w:rPr>
          <w:rFonts w:ascii="Times New Roman" w:hAnsi="Times New Roman" w:cs="Times New Roman"/>
          <w:sz w:val="20"/>
          <w:szCs w:val="20"/>
        </w:rPr>
        <w:t>zu setzen.</w:t>
      </w:r>
    </w:p>
    <w:p w:rsidR="009C0353" w:rsidRPr="007968A2" w:rsidRDefault="009C0353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Projektträger und Zuwendungsempfangende </w:t>
      </w:r>
      <w:r w:rsidR="00615DC8">
        <w:rPr>
          <w:rFonts w:ascii="Times New Roman" w:hAnsi="Times New Roman" w:cs="Times New Roman"/>
          <w:sz w:val="20"/>
          <w:szCs w:val="20"/>
        </w:rPr>
        <w:t>können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neben den Kommunen beispielsweise auch Vereine, Unternehmen und Privatpersonen sein. </w:t>
      </w:r>
    </w:p>
    <w:p w:rsidR="0065613B" w:rsidRPr="007D4D42" w:rsidRDefault="009A5F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Wo liegen die Förderschwerpunkte</w:t>
      </w:r>
      <w:r w:rsidR="00B5569B" w:rsidRPr="007D4D42">
        <w:rPr>
          <w:rFonts w:ascii="Times New Roman" w:hAnsi="Times New Roman" w:cs="Times New Roman"/>
          <w:b/>
          <w:sz w:val="20"/>
          <w:szCs w:val="20"/>
        </w:rPr>
        <w:t>?</w:t>
      </w:r>
    </w:p>
    <w:p w:rsidR="0065613B" w:rsidRPr="007968A2" w:rsidRDefault="0065613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Wohnen/Innenentwicklung</w:t>
      </w:r>
      <w:r w:rsidRPr="007968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die Erhaltung und Stärkung der Ortskerne insbesondere durch Umnutzung vorhandener Bausubstanz, Maßnahmen zur Erreichung zeitgemäßer Wohnverhältnisse (umfassende Modernisierung</w:t>
      </w:r>
      <w:r w:rsidR="001652CB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); innerörtliche Nachverdichtung (ortsbildprägende Neubauten in Baulücken); Verbesserung des Wohnumfeldes, Entflechtung unverträglicher Gemengelagen </w:t>
      </w:r>
      <w:r w:rsidR="001652CB">
        <w:rPr>
          <w:rFonts w:ascii="Times New Roman" w:hAnsi="Times New Roman" w:cs="Times New Roman"/>
          <w:sz w:val="20"/>
          <w:szCs w:val="20"/>
        </w:rPr>
        <w:t>sowie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Neuordnung mit Baureifmachung von Grundstücken gefördert. Bei</w:t>
      </w:r>
      <w:r w:rsidR="00467E35">
        <w:rPr>
          <w:rFonts w:ascii="Times New Roman" w:hAnsi="Times New Roman" w:cs="Times New Roman"/>
          <w:sz w:val="20"/>
          <w:szCs w:val="20"/>
        </w:rPr>
        <w:t xml:space="preserve"> eigengenutzten wohnraumbezogenen Projekten</w:t>
      </w:r>
      <w:r w:rsid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>liegt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der </w:t>
      </w:r>
      <w:r w:rsidR="001652CB">
        <w:rPr>
          <w:rFonts w:ascii="Times New Roman" w:hAnsi="Times New Roman" w:cs="Times New Roman"/>
          <w:sz w:val="20"/>
          <w:szCs w:val="20"/>
        </w:rPr>
        <w:t>Regelf</w:t>
      </w:r>
      <w:r w:rsidRPr="007968A2">
        <w:rPr>
          <w:rFonts w:ascii="Times New Roman" w:hAnsi="Times New Roman" w:cs="Times New Roman"/>
          <w:sz w:val="20"/>
          <w:szCs w:val="20"/>
        </w:rPr>
        <w:t xml:space="preserve">ördersatz </w:t>
      </w:r>
      <w:r w:rsidR="00467E35">
        <w:rPr>
          <w:rFonts w:ascii="Times New Roman" w:hAnsi="Times New Roman" w:cs="Times New Roman"/>
          <w:sz w:val="20"/>
          <w:szCs w:val="20"/>
        </w:rPr>
        <w:t xml:space="preserve">bei </w:t>
      </w:r>
      <w:r w:rsidR="001652CB">
        <w:rPr>
          <w:rFonts w:ascii="Times New Roman" w:hAnsi="Times New Roman" w:cs="Times New Roman"/>
          <w:sz w:val="20"/>
          <w:szCs w:val="20"/>
        </w:rPr>
        <w:t>30</w:t>
      </w:r>
      <w:r w:rsidR="00615DC8">
        <w:rPr>
          <w:rFonts w:ascii="Times New Roman" w:hAnsi="Times New Roman" w:cs="Times New Roman"/>
          <w:sz w:val="20"/>
          <w:szCs w:val="20"/>
        </w:rPr>
        <w:t> </w:t>
      </w:r>
      <w:r w:rsidR="001652CB">
        <w:rPr>
          <w:rFonts w:ascii="Times New Roman" w:hAnsi="Times New Roman" w:cs="Times New Roman"/>
          <w:sz w:val="20"/>
          <w:szCs w:val="20"/>
        </w:rPr>
        <w:t>%</w:t>
      </w:r>
      <w:r w:rsidR="00615DC8">
        <w:rPr>
          <w:rFonts w:ascii="Times New Roman" w:hAnsi="Times New Roman" w:cs="Times New Roman"/>
          <w:sz w:val="20"/>
          <w:szCs w:val="20"/>
        </w:rPr>
        <w:t>.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>D</w:t>
      </w:r>
      <w:r w:rsidR="001652CB">
        <w:rPr>
          <w:rFonts w:ascii="Times New Roman" w:hAnsi="Times New Roman" w:cs="Times New Roman"/>
          <w:sz w:val="20"/>
          <w:szCs w:val="20"/>
        </w:rPr>
        <w:t xml:space="preserve">er Höchstbetrag pro Wohneinheit beträgt grundsätzlich </w:t>
      </w:r>
      <w:r w:rsidRPr="007968A2">
        <w:rPr>
          <w:rFonts w:ascii="Times New Roman" w:hAnsi="Times New Roman" w:cs="Times New Roman"/>
          <w:sz w:val="20"/>
          <w:szCs w:val="20"/>
        </w:rPr>
        <w:t>20.000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 </w:t>
      </w:r>
      <w:r w:rsidR="00467E35">
        <w:rPr>
          <w:rFonts w:ascii="Times New Roman" w:hAnsi="Times New Roman" w:cs="Times New Roman"/>
          <w:sz w:val="20"/>
          <w:szCs w:val="20"/>
        </w:rPr>
        <w:t>(Modernisierung /Neubau)</w:t>
      </w:r>
      <w:r w:rsidR="001652CB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bei Umnutzungen bis zu 50.000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€.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Für den Förderschwerpunkt Wohnen/Innenentwicklung wird etwa die Hälfte </w:t>
      </w:r>
      <w:r w:rsidR="00D80A06">
        <w:rPr>
          <w:rFonts w:ascii="Times New Roman" w:hAnsi="Times New Roman" w:cs="Times New Roman"/>
          <w:sz w:val="20"/>
          <w:szCs w:val="20"/>
        </w:rPr>
        <w:t xml:space="preserve">der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zur Verfügung stehenden Mittel </w:t>
      </w:r>
      <w:r w:rsidR="001652CB">
        <w:rPr>
          <w:rFonts w:ascii="Times New Roman" w:hAnsi="Times New Roman" w:cs="Times New Roman"/>
          <w:sz w:val="20"/>
          <w:szCs w:val="20"/>
        </w:rPr>
        <w:t>im Jahresprogramm 20</w:t>
      </w:r>
      <w:r w:rsidR="00EA5F64">
        <w:rPr>
          <w:rFonts w:ascii="Times New Roman" w:hAnsi="Times New Roman" w:cs="Times New Roman"/>
          <w:sz w:val="20"/>
          <w:szCs w:val="20"/>
        </w:rPr>
        <w:t>20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7968A2" w:rsidRPr="007968A2">
        <w:rPr>
          <w:rFonts w:ascii="Times New Roman" w:hAnsi="Times New Roman" w:cs="Times New Roman"/>
          <w:sz w:val="20"/>
          <w:szCs w:val="20"/>
        </w:rPr>
        <w:t>eingesetzt.</w:t>
      </w:r>
    </w:p>
    <w:p w:rsidR="00F849D5" w:rsidRDefault="00B5569B" w:rsidP="00EA5F6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Grundversorgung steht die Sicherung der örtlichen </w:t>
      </w:r>
      <w:r w:rsidR="00F849D5" w:rsidRPr="007D4D42">
        <w:rPr>
          <w:rFonts w:ascii="Times New Roman" w:hAnsi="Times New Roman" w:cs="Times New Roman"/>
          <w:b/>
          <w:sz w:val="20"/>
          <w:szCs w:val="20"/>
        </w:rPr>
        <w:t>Grundversorgung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 mit </w:t>
      </w:r>
      <w:r w:rsidR="001652CB">
        <w:rPr>
          <w:rFonts w:ascii="Times New Roman" w:hAnsi="Times New Roman" w:cs="Times New Roman"/>
          <w:sz w:val="20"/>
          <w:szCs w:val="20"/>
        </w:rPr>
        <w:t>Waren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849D5" w:rsidRPr="007968A2">
        <w:rPr>
          <w:rFonts w:ascii="Times New Roman" w:hAnsi="Times New Roman" w:cs="Times New Roman"/>
          <w:sz w:val="20"/>
          <w:szCs w:val="20"/>
        </w:rPr>
        <w:t>und Dienstleistungen des täglichen bis wöchentlichen Bedarfs</w:t>
      </w:r>
      <w:r w:rsidRPr="007968A2">
        <w:rPr>
          <w:rFonts w:ascii="Times New Roman" w:hAnsi="Times New Roman" w:cs="Times New Roman"/>
          <w:sz w:val="20"/>
          <w:szCs w:val="20"/>
        </w:rPr>
        <w:t xml:space="preserve"> im Vor</w:t>
      </w:r>
      <w:r w:rsidR="007968A2" w:rsidRPr="007968A2">
        <w:rPr>
          <w:rFonts w:ascii="Times New Roman" w:hAnsi="Times New Roman" w:cs="Times New Roman"/>
          <w:sz w:val="20"/>
          <w:szCs w:val="20"/>
        </w:rPr>
        <w:t>dergrund</w:t>
      </w:r>
      <w:r w:rsidR="00F849D5" w:rsidRPr="007968A2">
        <w:rPr>
          <w:rFonts w:ascii="Times New Roman" w:hAnsi="Times New Roman" w:cs="Times New Roman"/>
          <w:sz w:val="20"/>
          <w:szCs w:val="20"/>
        </w:rPr>
        <w:t>. Gefördert werden unter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849D5" w:rsidRPr="007968A2">
        <w:rPr>
          <w:rFonts w:ascii="Times New Roman" w:hAnsi="Times New Roman" w:cs="Times New Roman"/>
          <w:sz w:val="20"/>
          <w:szCs w:val="20"/>
        </w:rPr>
        <w:t>anderem Dorfgasthäuser, Dorfläden, Metzgereien</w:t>
      </w:r>
      <w:r w:rsidR="001652CB">
        <w:rPr>
          <w:rFonts w:ascii="Times New Roman" w:hAnsi="Times New Roman" w:cs="Times New Roman"/>
          <w:sz w:val="20"/>
          <w:szCs w:val="20"/>
        </w:rPr>
        <w:t xml:space="preserve">, </w:t>
      </w:r>
      <w:r w:rsidR="00F849D5" w:rsidRPr="007968A2">
        <w:rPr>
          <w:rFonts w:ascii="Times New Roman" w:hAnsi="Times New Roman" w:cs="Times New Roman"/>
          <w:sz w:val="20"/>
          <w:szCs w:val="20"/>
        </w:rPr>
        <w:t>Bäckereien</w:t>
      </w:r>
      <w:r w:rsidR="001652CB">
        <w:rPr>
          <w:rFonts w:ascii="Times New Roman" w:hAnsi="Times New Roman" w:cs="Times New Roman"/>
          <w:sz w:val="20"/>
          <w:szCs w:val="20"/>
        </w:rPr>
        <w:t xml:space="preserve"> und Handwerksbetriebe</w:t>
      </w:r>
      <w:r w:rsidR="00F849D5" w:rsidRPr="007968A2">
        <w:rPr>
          <w:rFonts w:ascii="Times New Roman" w:hAnsi="Times New Roman" w:cs="Times New Roman"/>
          <w:sz w:val="20"/>
          <w:szCs w:val="20"/>
        </w:rPr>
        <w:t>.</w:t>
      </w:r>
      <w:r w:rsidR="00EA5F64" w:rsidRPr="00EA5F64">
        <w:rPr>
          <w:rFonts w:ascii="Times New Roman" w:hAnsi="Times New Roman" w:cs="Times New Roman"/>
          <w:sz w:val="20"/>
          <w:szCs w:val="20"/>
        </w:rPr>
        <w:t xml:space="preserve"> Aufnahmeaufträge mit Projekten aus diesem Förderschwerpunkt erhalten einen Fördervorrang.</w:t>
      </w:r>
      <w:r w:rsidR="00EA5F64">
        <w:rPr>
          <w:rFonts w:ascii="Times New Roman" w:hAnsi="Times New Roman" w:cs="Times New Roman"/>
          <w:sz w:val="20"/>
          <w:szCs w:val="20"/>
        </w:rPr>
        <w:t xml:space="preserve"> </w:t>
      </w:r>
      <w:r w:rsidR="00EA5F64" w:rsidRPr="00EA5F64">
        <w:rPr>
          <w:rFonts w:ascii="Times New Roman" w:hAnsi="Times New Roman" w:cs="Times New Roman"/>
          <w:sz w:val="20"/>
          <w:szCs w:val="20"/>
        </w:rPr>
        <w:t>Investitionen von Kleinstunternehmen der Grundversor</w:t>
      </w:r>
      <w:r w:rsidR="007D7832">
        <w:rPr>
          <w:rFonts w:ascii="Times New Roman" w:hAnsi="Times New Roman" w:cs="Times New Roman"/>
          <w:sz w:val="20"/>
          <w:szCs w:val="20"/>
        </w:rPr>
        <w:t>-g</w:t>
      </w:r>
      <w:bookmarkStart w:id="0" w:name="_GoBack"/>
      <w:bookmarkEnd w:id="0"/>
      <w:r w:rsidR="00EA5F64" w:rsidRPr="00EA5F64">
        <w:rPr>
          <w:rFonts w:ascii="Times New Roman" w:hAnsi="Times New Roman" w:cs="Times New Roman"/>
          <w:sz w:val="20"/>
          <w:szCs w:val="20"/>
        </w:rPr>
        <w:t>ung und für Einrichtungen für lokale Basisdienstleistungen können mit einem erhöhten Fördersatz von bis zu 30 % (ggf. 35 % bei zusätzlichem CO2-Speicherzuschlag) gefördert werden</w:t>
      </w:r>
      <w:r w:rsidR="00EA5F64">
        <w:rPr>
          <w:rFonts w:ascii="Times New Roman" w:hAnsi="Times New Roman" w:cs="Times New Roman"/>
          <w:sz w:val="20"/>
          <w:szCs w:val="20"/>
        </w:rPr>
        <w:t>.</w:t>
      </w:r>
    </w:p>
    <w:p w:rsidR="000B0A47" w:rsidRDefault="00F849D5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Arbeiten</w:t>
      </w:r>
      <w:r w:rsidR="00615DC8" w:rsidRPr="007D4D4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werden vorrangig Projekte unterstützt, die zur Entflechtung störender Gemengelagen im Ortskern beitragen. Darüber hinaus sind </w:t>
      </w:r>
      <w:r w:rsidR="001652CB">
        <w:rPr>
          <w:rFonts w:ascii="Times New Roman" w:hAnsi="Times New Roman" w:cs="Times New Roman"/>
          <w:sz w:val="20"/>
          <w:szCs w:val="20"/>
        </w:rPr>
        <w:t xml:space="preserve">Projekte von </w:t>
      </w:r>
      <w:r w:rsidRPr="007968A2">
        <w:rPr>
          <w:rFonts w:ascii="Times New Roman" w:hAnsi="Times New Roman" w:cs="Times New Roman"/>
          <w:sz w:val="20"/>
          <w:szCs w:val="20"/>
        </w:rPr>
        <w:t>kleine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mittlere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Unternehmen, die zum Erhalt der dezentralen Wirtschaftsstruktur sowie zur Sicherung und Schaffung von zukunftsfähigen Arbeitsplätzen beitragen</w:t>
      </w:r>
      <w:r w:rsidR="007968A2" w:rsidRPr="007968A2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förderfähig. </w:t>
      </w:r>
    </w:p>
    <w:p w:rsidR="007D4D42" w:rsidRPr="007968A2" w:rsidRDefault="007D4D42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849D5" w:rsidRPr="007D4D42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CO</w:t>
      </w:r>
      <w:r w:rsidRPr="007D4D4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D4D42">
        <w:rPr>
          <w:rFonts w:ascii="Times New Roman" w:hAnsi="Times New Roman" w:cs="Times New Roman"/>
          <w:b/>
          <w:sz w:val="20"/>
          <w:szCs w:val="20"/>
        </w:rPr>
        <w:t>-Speicherzuschlag</w:t>
      </w:r>
    </w:p>
    <w:p w:rsidR="000B0A47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Wer bei Projekten überwiegend ressourcenschonende, </w:t>
      </w:r>
      <w:r w:rsidR="00FA2179" w:rsidRPr="006B6A0E">
        <w:rPr>
          <w:rFonts w:ascii="Times New Roman" w:hAnsi="Times New Roman" w:cs="Times New Roman"/>
          <w:b/>
          <w:sz w:val="20"/>
          <w:szCs w:val="20"/>
        </w:rPr>
        <w:t>CO</w:t>
      </w:r>
      <w:r w:rsidR="00FA2179" w:rsidRPr="006B6A0E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968A2">
        <w:rPr>
          <w:rFonts w:ascii="Times New Roman" w:hAnsi="Times New Roman" w:cs="Times New Roman"/>
          <w:sz w:val="20"/>
          <w:szCs w:val="20"/>
        </w:rPr>
        <w:t xml:space="preserve"> bindende Baustoffe </w:t>
      </w:r>
      <w:r w:rsidR="00467E35">
        <w:rPr>
          <w:rFonts w:ascii="Times New Roman" w:hAnsi="Times New Roman" w:cs="Times New Roman"/>
          <w:sz w:val="20"/>
          <w:szCs w:val="20"/>
        </w:rPr>
        <w:t xml:space="preserve">im Tragwerk </w:t>
      </w:r>
      <w:r w:rsidRPr="007968A2">
        <w:rPr>
          <w:rFonts w:ascii="Times New Roman" w:hAnsi="Times New Roman" w:cs="Times New Roman"/>
          <w:sz w:val="20"/>
          <w:szCs w:val="20"/>
        </w:rPr>
        <w:t xml:space="preserve">wie z.B. Holz einsetzt, </w:t>
      </w:r>
      <w:r w:rsidR="00467E35">
        <w:rPr>
          <w:rFonts w:ascii="Times New Roman" w:hAnsi="Times New Roman" w:cs="Times New Roman"/>
          <w:sz w:val="20"/>
          <w:szCs w:val="20"/>
        </w:rPr>
        <w:t xml:space="preserve">kann </w:t>
      </w:r>
      <w:r w:rsidR="00FA2179">
        <w:rPr>
          <w:rFonts w:ascii="Times New Roman" w:hAnsi="Times New Roman" w:cs="Times New Roman"/>
          <w:sz w:val="20"/>
          <w:szCs w:val="20"/>
        </w:rPr>
        <w:t xml:space="preserve">grundsätzlich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einen 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Förderzuschlag von 5 %-Punkten </w:t>
      </w:r>
      <w:r w:rsidRPr="007968A2">
        <w:rPr>
          <w:rFonts w:ascii="Times New Roman" w:hAnsi="Times New Roman" w:cs="Times New Roman"/>
          <w:sz w:val="20"/>
          <w:szCs w:val="20"/>
        </w:rPr>
        <w:t>auf d</w:t>
      </w:r>
      <w:r w:rsidR="00FA2179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A2179">
        <w:rPr>
          <w:rFonts w:ascii="Times New Roman" w:hAnsi="Times New Roman" w:cs="Times New Roman"/>
          <w:sz w:val="20"/>
          <w:szCs w:val="20"/>
        </w:rPr>
        <w:t>Regelfördersatz</w:t>
      </w:r>
      <w:r w:rsidR="00467E35">
        <w:rPr>
          <w:rFonts w:ascii="Times New Roman" w:hAnsi="Times New Roman" w:cs="Times New Roman"/>
          <w:sz w:val="20"/>
          <w:szCs w:val="20"/>
        </w:rPr>
        <w:t xml:space="preserve"> bekommen</w:t>
      </w:r>
      <w:r w:rsidR="00615DC8">
        <w:rPr>
          <w:rFonts w:ascii="Times New Roman" w:hAnsi="Times New Roman" w:cs="Times New Roman"/>
          <w:sz w:val="20"/>
          <w:szCs w:val="20"/>
        </w:rPr>
        <w:t>, sofern dies nach beihilferechtlichen Bestimmungen möglich ist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:rsidR="00F849D5" w:rsidRPr="007D4D42" w:rsidRDefault="007968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Antragsv</w:t>
      </w:r>
      <w:r w:rsidR="00C64AC8" w:rsidRPr="007D4D42">
        <w:rPr>
          <w:rFonts w:ascii="Times New Roman" w:hAnsi="Times New Roman" w:cs="Times New Roman"/>
          <w:b/>
          <w:sz w:val="20"/>
          <w:szCs w:val="20"/>
        </w:rPr>
        <w:t>erfahren</w:t>
      </w:r>
    </w:p>
    <w:p w:rsidR="008A6981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Anträge auf Aufnahme in das Förderprogramm können ausschließlich von den </w:t>
      </w:r>
      <w:r w:rsidR="008A53BF">
        <w:rPr>
          <w:rFonts w:ascii="Times New Roman" w:hAnsi="Times New Roman" w:cs="Times New Roman"/>
          <w:sz w:val="20"/>
          <w:szCs w:val="20"/>
        </w:rPr>
        <w:t>Städten/</w:t>
      </w:r>
      <w:r w:rsidRPr="007968A2">
        <w:rPr>
          <w:rFonts w:ascii="Times New Roman" w:hAnsi="Times New Roman" w:cs="Times New Roman"/>
          <w:sz w:val="20"/>
          <w:szCs w:val="20"/>
        </w:rPr>
        <w:t>Gemeinden gestellt werden. Die</w:t>
      </w:r>
      <w:r w:rsidR="00467E35">
        <w:rPr>
          <w:rFonts w:ascii="Times New Roman" w:hAnsi="Times New Roman" w:cs="Times New Roman"/>
          <w:sz w:val="20"/>
          <w:szCs w:val="20"/>
        </w:rPr>
        <w:t>se Aufnahmeanträge enthalten auch die privaten Projekte.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8A6981">
        <w:rPr>
          <w:rFonts w:ascii="Times New Roman" w:hAnsi="Times New Roman" w:cs="Times New Roman"/>
          <w:sz w:val="20"/>
          <w:szCs w:val="20"/>
        </w:rPr>
        <w:t>Die Aufnahmeanträge werden über das Landratsamt dem Regierungspräsidium vorgelegt. Das Ministerium für Ländlichen Raum und Verbraucherschutz entscheidet im Frühjahr 20</w:t>
      </w:r>
      <w:r w:rsidR="00EA5F64">
        <w:rPr>
          <w:rFonts w:ascii="Times New Roman" w:hAnsi="Times New Roman" w:cs="Times New Roman"/>
          <w:sz w:val="20"/>
          <w:szCs w:val="20"/>
        </w:rPr>
        <w:t>20</w:t>
      </w:r>
      <w:r w:rsidR="008A6981">
        <w:rPr>
          <w:rFonts w:ascii="Times New Roman" w:hAnsi="Times New Roman" w:cs="Times New Roman"/>
          <w:sz w:val="20"/>
          <w:szCs w:val="20"/>
        </w:rPr>
        <w:t xml:space="preserve"> über die Aufnahme in das ELR. </w:t>
      </w:r>
    </w:p>
    <w:p w:rsidR="00C64AC8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Daher ist es notwendig, dass die </w:t>
      </w:r>
      <w:r w:rsidR="00467E35">
        <w:rPr>
          <w:rFonts w:ascii="Times New Roman" w:hAnsi="Times New Roman" w:cs="Times New Roman"/>
          <w:sz w:val="20"/>
          <w:szCs w:val="20"/>
        </w:rPr>
        <w:t xml:space="preserve">Unterlagen zu den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privaten </w:t>
      </w:r>
      <w:r w:rsidR="00467E35">
        <w:rPr>
          <w:rFonts w:ascii="Times New Roman" w:hAnsi="Times New Roman" w:cs="Times New Roman"/>
          <w:sz w:val="20"/>
          <w:szCs w:val="20"/>
        </w:rPr>
        <w:t>Projekten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bis spätestens XX</w:t>
      </w:r>
      <w:r w:rsidR="00684125">
        <w:rPr>
          <w:rFonts w:ascii="Times New Roman" w:hAnsi="Times New Roman" w:cs="Times New Roman"/>
          <w:sz w:val="20"/>
          <w:szCs w:val="20"/>
        </w:rPr>
        <w:t>.</w:t>
      </w:r>
      <w:r w:rsidR="000B0A47" w:rsidRPr="007968A2">
        <w:rPr>
          <w:rFonts w:ascii="Times New Roman" w:hAnsi="Times New Roman" w:cs="Times New Roman"/>
          <w:sz w:val="20"/>
          <w:szCs w:val="20"/>
        </w:rPr>
        <w:t>X</w:t>
      </w:r>
      <w:r w:rsidR="00684125">
        <w:rPr>
          <w:rFonts w:ascii="Times New Roman" w:hAnsi="Times New Roman" w:cs="Times New Roman"/>
          <w:sz w:val="20"/>
          <w:szCs w:val="20"/>
        </w:rPr>
        <w:t>X.201</w:t>
      </w:r>
      <w:r w:rsidR="00EA5F64">
        <w:rPr>
          <w:rFonts w:ascii="Times New Roman" w:hAnsi="Times New Roman" w:cs="Times New Roman"/>
          <w:sz w:val="20"/>
          <w:szCs w:val="20"/>
        </w:rPr>
        <w:t>9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bei der Gemeinde </w:t>
      </w:r>
      <w:r w:rsidR="00467E35">
        <w:rPr>
          <w:rFonts w:ascii="Times New Roman" w:hAnsi="Times New Roman" w:cs="Times New Roman"/>
          <w:sz w:val="20"/>
          <w:szCs w:val="20"/>
        </w:rPr>
        <w:t>vorliegen</w:t>
      </w:r>
      <w:r w:rsidR="000B0A47" w:rsidRPr="007968A2">
        <w:rPr>
          <w:rFonts w:ascii="Times New Roman" w:hAnsi="Times New Roman" w:cs="Times New Roman"/>
          <w:sz w:val="20"/>
          <w:szCs w:val="20"/>
        </w:rPr>
        <w:t>.</w:t>
      </w:r>
    </w:p>
    <w:p w:rsidR="00AD42BD" w:rsidRDefault="00467E35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Sollten Sie ein Projekt planen, für das eine Förderung in Frage kommen könnte, so wenden sie sich unverzüglich an</w:t>
      </w:r>
      <w:r w:rsidRPr="007968A2">
        <w:rPr>
          <w:rFonts w:ascii="Times New Roman" w:hAnsi="Times New Roman" w:cs="Times New Roman"/>
          <w:sz w:val="20"/>
          <w:szCs w:val="20"/>
        </w:rPr>
        <w:t xml:space="preserve"> Frau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Herr </w:t>
      </w:r>
      <w:r w:rsidRPr="007968A2">
        <w:rPr>
          <w:rFonts w:ascii="Times New Roman" w:hAnsi="Times New Roman" w:cs="Times New Roman"/>
          <w:sz w:val="20"/>
          <w:szCs w:val="20"/>
        </w:rPr>
        <w:t xml:space="preserve"> XXXX</w:t>
      </w:r>
      <w:proofErr w:type="gramEnd"/>
      <w:r w:rsidRPr="007968A2">
        <w:rPr>
          <w:rFonts w:ascii="Times New Roman" w:hAnsi="Times New Roman" w:cs="Times New Roman"/>
          <w:sz w:val="20"/>
          <w:szCs w:val="20"/>
        </w:rPr>
        <w:t>, Tel. XXXXX, E-Mail: XXXXX</w:t>
      </w:r>
      <w:r w:rsidR="00AD42BD">
        <w:rPr>
          <w:rFonts w:ascii="Times New Roman" w:hAnsi="Times New Roman" w:cs="Times New Roman"/>
          <w:sz w:val="20"/>
          <w:szCs w:val="20"/>
        </w:rPr>
        <w:t>, um die erforderlichen Unterlagen abzustimmen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:rsidR="00AD42BD" w:rsidRPr="007968A2" w:rsidRDefault="00AD42BD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können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nur </w:t>
      </w:r>
      <w:r>
        <w:rPr>
          <w:rFonts w:ascii="Times New Roman" w:hAnsi="Times New Roman" w:cs="Times New Roman"/>
          <w:sz w:val="20"/>
          <w:szCs w:val="20"/>
        </w:rPr>
        <w:t>Projekte</w:t>
      </w:r>
      <w:r w:rsidRPr="007968A2">
        <w:rPr>
          <w:rFonts w:ascii="Times New Roman" w:hAnsi="Times New Roman" w:cs="Times New Roman"/>
          <w:sz w:val="20"/>
          <w:szCs w:val="20"/>
        </w:rPr>
        <w:t xml:space="preserve"> zur Förderung vorgeschlagen werden, die zeitnah </w:t>
      </w:r>
      <w:r>
        <w:rPr>
          <w:rFonts w:ascii="Times New Roman" w:hAnsi="Times New Roman" w:cs="Times New Roman"/>
          <w:sz w:val="20"/>
          <w:szCs w:val="20"/>
        </w:rPr>
        <w:t xml:space="preserve">im Anschluss an die Förderentscheidung im Frühjahr </w:t>
      </w:r>
      <w:r w:rsidR="00615DC8">
        <w:rPr>
          <w:rFonts w:ascii="Times New Roman" w:hAnsi="Times New Roman" w:cs="Times New Roman"/>
          <w:sz w:val="20"/>
          <w:szCs w:val="20"/>
        </w:rPr>
        <w:t>20</w:t>
      </w:r>
      <w:r w:rsidR="00EA5F64">
        <w:rPr>
          <w:rFonts w:ascii="Times New Roman" w:hAnsi="Times New Roman" w:cs="Times New Roman"/>
          <w:sz w:val="20"/>
          <w:szCs w:val="20"/>
        </w:rPr>
        <w:t>20</w:t>
      </w:r>
      <w:r w:rsidR="00615DC8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umgesetzt </w:t>
      </w:r>
      <w:r w:rsidR="00615DC8">
        <w:rPr>
          <w:rFonts w:ascii="Times New Roman" w:hAnsi="Times New Roman" w:cs="Times New Roman"/>
          <w:sz w:val="20"/>
          <w:szCs w:val="20"/>
        </w:rPr>
        <w:t xml:space="preserve">und davor nicht begonnen </w:t>
      </w:r>
      <w:r w:rsidRPr="007968A2">
        <w:rPr>
          <w:rFonts w:ascii="Times New Roman" w:hAnsi="Times New Roman" w:cs="Times New Roman"/>
          <w:sz w:val="20"/>
          <w:szCs w:val="20"/>
        </w:rPr>
        <w:t>werden.</w:t>
      </w:r>
    </w:p>
    <w:p w:rsidR="00B5569B" w:rsidRPr="007968A2" w:rsidRDefault="00B5569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Weitere </w:t>
      </w:r>
      <w:r w:rsidR="00467E35">
        <w:rPr>
          <w:rFonts w:ascii="Times New Roman" w:hAnsi="Times New Roman" w:cs="Times New Roman"/>
          <w:sz w:val="20"/>
          <w:szCs w:val="20"/>
        </w:rPr>
        <w:t xml:space="preserve">allgemeine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Informationen über </w:t>
      </w:r>
      <w:r w:rsidRPr="007968A2">
        <w:rPr>
          <w:rFonts w:ascii="Times New Roman" w:hAnsi="Times New Roman" w:cs="Times New Roman"/>
          <w:sz w:val="20"/>
          <w:szCs w:val="20"/>
        </w:rPr>
        <w:t xml:space="preserve">die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Fördervorrausetzungen, die Förderhöhe und das Verfahren zur Antragsstellung </w:t>
      </w:r>
      <w:r w:rsidRPr="007968A2">
        <w:rPr>
          <w:rFonts w:ascii="Times New Roman" w:hAnsi="Times New Roman" w:cs="Times New Roman"/>
          <w:sz w:val="20"/>
          <w:szCs w:val="20"/>
        </w:rPr>
        <w:t xml:space="preserve">finden Sie unter </w:t>
      </w:r>
      <w:hyperlink r:id="rId5" w:history="1">
        <w:r w:rsidRPr="007968A2">
          <w:rPr>
            <w:rStyle w:val="Hyperlink"/>
            <w:rFonts w:ascii="Times New Roman" w:hAnsi="Times New Roman" w:cs="Times New Roman"/>
            <w:sz w:val="20"/>
            <w:szCs w:val="20"/>
          </w:rPr>
          <w:t>https://mlr.baden-wuerttemberg.de/de/unsere-themen/laendlicher-raum/foerderung/elr/</w:t>
        </w:r>
      </w:hyperlink>
      <w:r w:rsidRPr="007968A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Gemeinde /Stadt, Datum</w:t>
      </w:r>
    </w:p>
    <w:p w:rsidR="00F772B8" w:rsidRPr="007968A2" w:rsidRDefault="00F772B8" w:rsidP="00B5569B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772B8" w:rsidRPr="007968A2" w:rsidSect="00B622F1">
      <w:pgSz w:w="11906" w:h="16838"/>
      <w:pgMar w:top="1417" w:right="991" w:bottom="1134" w:left="993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FF8"/>
    <w:multiLevelType w:val="hybridMultilevel"/>
    <w:tmpl w:val="9FD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44E"/>
    <w:multiLevelType w:val="multilevel"/>
    <w:tmpl w:val="33A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2AED"/>
    <w:multiLevelType w:val="multilevel"/>
    <w:tmpl w:val="ED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8"/>
    <w:rsid w:val="000B0A47"/>
    <w:rsid w:val="000B2F7A"/>
    <w:rsid w:val="000C20A2"/>
    <w:rsid w:val="001652CB"/>
    <w:rsid w:val="00394D58"/>
    <w:rsid w:val="00467E35"/>
    <w:rsid w:val="00615DC8"/>
    <w:rsid w:val="0065613B"/>
    <w:rsid w:val="00684125"/>
    <w:rsid w:val="007577F9"/>
    <w:rsid w:val="007968A2"/>
    <w:rsid w:val="007D4D42"/>
    <w:rsid w:val="007D7832"/>
    <w:rsid w:val="007E6588"/>
    <w:rsid w:val="008226BA"/>
    <w:rsid w:val="008A53BF"/>
    <w:rsid w:val="008A6981"/>
    <w:rsid w:val="009A5FA2"/>
    <w:rsid w:val="009C0353"/>
    <w:rsid w:val="00A00200"/>
    <w:rsid w:val="00A04452"/>
    <w:rsid w:val="00A07BAD"/>
    <w:rsid w:val="00A62A1C"/>
    <w:rsid w:val="00AD42BD"/>
    <w:rsid w:val="00B4083D"/>
    <w:rsid w:val="00B5569B"/>
    <w:rsid w:val="00B622F1"/>
    <w:rsid w:val="00C64AC8"/>
    <w:rsid w:val="00D80A06"/>
    <w:rsid w:val="00EA5F64"/>
    <w:rsid w:val="00F772B8"/>
    <w:rsid w:val="00F849D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0B7F"/>
  <w15:docId w15:val="{7B115CBF-F993-4C72-89C1-A992D59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57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9064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04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4288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472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212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50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787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lr.baden-wuerttemberg.de/de/unsere-themen/laendlicher-raum/foerderung/el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Burkhardt, Lisa (MLR)</dc:creator>
  <cp:lastModifiedBy>Hartmann, Jutta (MLR)</cp:lastModifiedBy>
  <cp:revision>10</cp:revision>
  <dcterms:created xsi:type="dcterms:W3CDTF">2018-06-05T10:55:00Z</dcterms:created>
  <dcterms:modified xsi:type="dcterms:W3CDTF">2019-05-22T11:40:00Z</dcterms:modified>
</cp:coreProperties>
</file>